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A24C" w14:textId="59ED95A9" w:rsidR="004600D9" w:rsidRPr="00E82C4A" w:rsidRDefault="004600D9" w:rsidP="004600D9">
      <w:pPr>
        <w:rPr>
          <w:rFonts w:asciiTheme="minorHAnsi" w:eastAsia="Times New Roman" w:hAnsiTheme="minorHAnsi"/>
          <w:color w:val="4F81BD" w:themeColor="accent1"/>
          <w:sz w:val="28"/>
          <w:szCs w:val="28"/>
        </w:rPr>
      </w:pPr>
      <w:r w:rsidRPr="00E82C4A">
        <w:rPr>
          <w:rFonts w:asciiTheme="minorHAnsi" w:eastAsia="Times New Roman" w:hAnsiTheme="minorHAnsi"/>
          <w:b/>
          <w:bCs/>
          <w:color w:val="4F81BD" w:themeColor="accent1"/>
          <w:sz w:val="28"/>
          <w:szCs w:val="28"/>
        </w:rPr>
        <w:t>Type:</w:t>
      </w:r>
      <w:r w:rsidRPr="006D4A86">
        <w:rPr>
          <w:rFonts w:asciiTheme="minorHAnsi" w:eastAsia="Times New Roman" w:hAnsiTheme="minorHAnsi"/>
          <w:color w:val="4F81BD" w:themeColor="accent1"/>
          <w:sz w:val="24"/>
        </w:rPr>
        <w:t xml:space="preserve"> </w:t>
      </w:r>
      <w:r w:rsidR="00E82C4A">
        <w:rPr>
          <w:rFonts w:asciiTheme="minorHAnsi" w:eastAsia="Times New Roman" w:hAnsiTheme="minorHAnsi"/>
          <w:color w:val="4F81BD" w:themeColor="accent1"/>
          <w:sz w:val="24"/>
        </w:rPr>
        <w:tab/>
      </w:r>
      <w:r w:rsidR="00E82C4A">
        <w:rPr>
          <w:rFonts w:asciiTheme="minorHAnsi" w:eastAsia="Times New Roman" w:hAnsiTheme="minorHAnsi"/>
          <w:color w:val="4F81BD" w:themeColor="accent1"/>
          <w:sz w:val="24"/>
        </w:rPr>
        <w:tab/>
      </w:r>
      <w:r w:rsidR="00E82C4A">
        <w:rPr>
          <w:rFonts w:asciiTheme="minorHAnsi" w:eastAsia="Times New Roman" w:hAnsiTheme="minorHAnsi"/>
          <w:color w:val="4F81BD" w:themeColor="accent1"/>
          <w:sz w:val="24"/>
        </w:rPr>
        <w:tab/>
      </w:r>
      <w:r w:rsidR="00E82C4A">
        <w:rPr>
          <w:rFonts w:asciiTheme="minorHAnsi" w:eastAsia="Times New Roman" w:hAnsiTheme="minorHAnsi"/>
          <w:color w:val="4F81BD" w:themeColor="accent1"/>
          <w:sz w:val="24"/>
        </w:rPr>
        <w:tab/>
      </w:r>
      <w:r w:rsidRPr="00E82C4A">
        <w:rPr>
          <w:rFonts w:asciiTheme="minorHAnsi" w:eastAsia="Times New Roman" w:hAnsiTheme="minorHAnsi"/>
          <w:color w:val="4F81BD" w:themeColor="accent1"/>
          <w:sz w:val="28"/>
          <w:szCs w:val="28"/>
        </w:rPr>
        <w:t xml:space="preserve">Policy Statement </w:t>
      </w:r>
    </w:p>
    <w:p w14:paraId="5C03147D" w14:textId="40BDD0E7" w:rsidR="00E82C4A" w:rsidRPr="00207117" w:rsidRDefault="006D4A86" w:rsidP="00E82C4A">
      <w:pPr>
        <w:rPr>
          <w:rFonts w:asciiTheme="minorHAnsi" w:eastAsia="Times New Roman" w:hAnsiTheme="minorHAnsi"/>
          <w:color w:val="4F81BD" w:themeColor="accent1"/>
          <w:sz w:val="22"/>
          <w:szCs w:val="22"/>
        </w:rPr>
      </w:pPr>
      <w:r w:rsidRPr="00E82C4A">
        <w:rPr>
          <w:rFonts w:asciiTheme="minorHAnsi" w:eastAsia="Times New Roman" w:hAnsiTheme="minorHAnsi"/>
          <w:b/>
          <w:bCs/>
          <w:color w:val="4F81BD" w:themeColor="accent1"/>
          <w:sz w:val="28"/>
          <w:szCs w:val="28"/>
        </w:rPr>
        <w:t>Section Number</w:t>
      </w:r>
      <w:r w:rsidR="00E82C4A">
        <w:rPr>
          <w:rFonts w:asciiTheme="minorHAnsi" w:eastAsia="Times New Roman" w:hAnsiTheme="minorHAnsi"/>
          <w:color w:val="4F81BD" w:themeColor="accent1"/>
          <w:sz w:val="24"/>
        </w:rPr>
        <w:t>:</w:t>
      </w:r>
      <w:r w:rsidR="00E82C4A">
        <w:rPr>
          <w:rFonts w:asciiTheme="minorHAnsi" w:eastAsia="Times New Roman" w:hAnsiTheme="minorHAnsi"/>
          <w:color w:val="4F81BD" w:themeColor="accent1"/>
          <w:sz w:val="24"/>
        </w:rPr>
        <w:tab/>
      </w:r>
      <w:r w:rsidR="00E82C4A">
        <w:rPr>
          <w:rFonts w:asciiTheme="minorHAnsi" w:eastAsia="Times New Roman" w:hAnsiTheme="minorHAnsi"/>
          <w:color w:val="4F81BD" w:themeColor="accent1"/>
          <w:sz w:val="24"/>
        </w:rPr>
        <w:tab/>
      </w:r>
      <w:r w:rsidR="00E82C4A" w:rsidRPr="00207117">
        <w:rPr>
          <w:rFonts w:asciiTheme="minorHAnsi" w:eastAsia="Times New Roman" w:hAnsiTheme="minorHAnsi"/>
          <w:color w:val="4F81BD" w:themeColor="accent1"/>
          <w:sz w:val="28"/>
          <w:szCs w:val="28"/>
        </w:rPr>
        <w:t>FCA-PS-41</w:t>
      </w:r>
    </w:p>
    <w:p w14:paraId="45C0CDC3" w14:textId="60EED33A" w:rsidR="002C5A97" w:rsidRDefault="00E82C4A" w:rsidP="00F94504">
      <w:pPr>
        <w:rPr>
          <w:rFonts w:asciiTheme="minorHAnsi" w:eastAsia="Times New Roman" w:hAnsiTheme="minorHAnsi"/>
          <w:color w:val="4F81BD" w:themeColor="accent1"/>
          <w:sz w:val="28"/>
          <w:szCs w:val="28"/>
        </w:rPr>
      </w:pPr>
      <w:r w:rsidRPr="004B66CD">
        <w:rPr>
          <w:rFonts w:asciiTheme="minorHAnsi" w:eastAsia="Times New Roman" w:hAnsiTheme="minorHAnsi"/>
          <w:b/>
          <w:bCs/>
          <w:color w:val="4F81BD" w:themeColor="accent1"/>
          <w:sz w:val="28"/>
          <w:szCs w:val="28"/>
        </w:rPr>
        <w:t>Section Title</w:t>
      </w:r>
      <w:r w:rsidRPr="00207117">
        <w:rPr>
          <w:rFonts w:asciiTheme="minorHAnsi" w:eastAsia="Times New Roman" w:hAnsiTheme="minorHAnsi"/>
          <w:color w:val="4F81BD" w:themeColor="accent1"/>
          <w:sz w:val="22"/>
          <w:szCs w:val="22"/>
        </w:rPr>
        <w:t>:</w:t>
      </w:r>
      <w:r w:rsidRPr="00207117">
        <w:rPr>
          <w:rFonts w:asciiTheme="minorHAnsi" w:eastAsia="Times New Roman" w:hAnsiTheme="minorHAnsi"/>
          <w:color w:val="4F81BD" w:themeColor="accent1"/>
          <w:sz w:val="22"/>
          <w:szCs w:val="22"/>
        </w:rPr>
        <w:tab/>
      </w:r>
      <w:r w:rsidR="00207117">
        <w:rPr>
          <w:rFonts w:asciiTheme="minorHAnsi" w:eastAsia="Times New Roman" w:hAnsiTheme="minorHAnsi"/>
          <w:color w:val="4F81BD" w:themeColor="accent1"/>
          <w:sz w:val="22"/>
          <w:szCs w:val="22"/>
        </w:rPr>
        <w:tab/>
      </w:r>
      <w:r w:rsidRPr="00207117">
        <w:rPr>
          <w:rFonts w:asciiTheme="minorHAnsi" w:eastAsia="Times New Roman" w:hAnsiTheme="minorHAnsi"/>
          <w:color w:val="4F81BD" w:themeColor="accent1"/>
          <w:sz w:val="28"/>
          <w:szCs w:val="28"/>
        </w:rPr>
        <w:t>Alternative Means of Dispute Resolution</w:t>
      </w:r>
      <w:r w:rsidR="004600D9" w:rsidRPr="00207117">
        <w:rPr>
          <w:rFonts w:asciiTheme="minorHAnsi" w:eastAsia="Times New Roman" w:hAnsiTheme="minorHAnsi"/>
          <w:color w:val="4F81BD" w:themeColor="accent1"/>
          <w:sz w:val="32"/>
          <w:szCs w:val="32"/>
        </w:rPr>
        <w:br/>
      </w:r>
      <w:r w:rsidRPr="00E82C4A">
        <w:rPr>
          <w:rFonts w:asciiTheme="minorHAnsi" w:eastAsia="Times New Roman" w:hAnsiTheme="minorHAnsi"/>
          <w:b/>
          <w:bCs/>
          <w:color w:val="4F81BD" w:themeColor="accent1"/>
          <w:sz w:val="28"/>
          <w:szCs w:val="28"/>
        </w:rPr>
        <w:t xml:space="preserve">Effective </w:t>
      </w:r>
      <w:r w:rsidR="002C5A97" w:rsidRPr="00E82C4A">
        <w:rPr>
          <w:rFonts w:asciiTheme="minorHAnsi" w:eastAsia="Times New Roman" w:hAnsiTheme="minorHAnsi"/>
          <w:b/>
          <w:bCs/>
          <w:color w:val="4F81BD" w:themeColor="accent1"/>
          <w:sz w:val="28"/>
          <w:szCs w:val="28"/>
        </w:rPr>
        <w:t>Date</w:t>
      </w:r>
      <w:r w:rsidR="002C5A97">
        <w:rPr>
          <w:rFonts w:asciiTheme="minorHAnsi" w:eastAsia="Times New Roman" w:hAnsiTheme="minorHAnsi"/>
          <w:b/>
          <w:bCs/>
          <w:color w:val="4F81BD" w:themeColor="accent1"/>
          <w:sz w:val="24"/>
        </w:rPr>
        <w:t>:</w:t>
      </w:r>
      <w:r w:rsidR="002C5A97">
        <w:rPr>
          <w:rFonts w:asciiTheme="minorHAnsi" w:eastAsia="Times New Roman" w:hAnsiTheme="minorHAnsi"/>
          <w:b/>
          <w:bCs/>
          <w:color w:val="4F81BD" w:themeColor="accent1"/>
          <w:sz w:val="24"/>
        </w:rPr>
        <w:tab/>
      </w:r>
      <w:r w:rsidR="002C5A97">
        <w:rPr>
          <w:rFonts w:asciiTheme="minorHAnsi" w:eastAsia="Times New Roman" w:hAnsiTheme="minorHAnsi"/>
          <w:b/>
          <w:bCs/>
          <w:color w:val="4F81BD" w:themeColor="accent1"/>
          <w:sz w:val="24"/>
        </w:rPr>
        <w:tab/>
      </w:r>
      <w:r w:rsidR="002C5A97" w:rsidRPr="000371EE">
        <w:rPr>
          <w:rFonts w:asciiTheme="minorHAnsi" w:eastAsia="Times New Roman" w:hAnsiTheme="minorHAnsi"/>
          <w:color w:val="4F81BD" w:themeColor="accent1"/>
          <w:sz w:val="28"/>
          <w:szCs w:val="28"/>
        </w:rPr>
        <w:t>9/</w:t>
      </w:r>
      <w:r w:rsidR="002C5A97">
        <w:rPr>
          <w:rFonts w:asciiTheme="minorHAnsi" w:eastAsia="Times New Roman" w:hAnsiTheme="minorHAnsi"/>
          <w:color w:val="4F81BD" w:themeColor="accent1"/>
          <w:sz w:val="28"/>
          <w:szCs w:val="28"/>
        </w:rPr>
        <w:t>12</w:t>
      </w:r>
      <w:r w:rsidR="002C5A97" w:rsidRPr="000371EE">
        <w:rPr>
          <w:rFonts w:asciiTheme="minorHAnsi" w:eastAsia="Times New Roman" w:hAnsiTheme="minorHAnsi"/>
          <w:color w:val="4F81BD" w:themeColor="accent1"/>
          <w:sz w:val="28"/>
          <w:szCs w:val="28"/>
        </w:rPr>
        <w:t>/20</w:t>
      </w:r>
      <w:r w:rsidR="002C5A97">
        <w:rPr>
          <w:rFonts w:asciiTheme="minorHAnsi" w:eastAsia="Times New Roman" w:hAnsiTheme="minorHAnsi"/>
          <w:color w:val="4F81BD" w:themeColor="accent1"/>
          <w:sz w:val="28"/>
          <w:szCs w:val="28"/>
        </w:rPr>
        <w:t>2</w:t>
      </w:r>
      <w:r w:rsidR="002C5A97" w:rsidRPr="000371EE">
        <w:rPr>
          <w:rFonts w:asciiTheme="minorHAnsi" w:eastAsia="Times New Roman" w:hAnsiTheme="minorHAnsi"/>
          <w:color w:val="4F81BD" w:themeColor="accent1"/>
          <w:sz w:val="28"/>
          <w:szCs w:val="28"/>
        </w:rPr>
        <w:t>2</w:t>
      </w:r>
    </w:p>
    <w:p w14:paraId="08CCBF6D" w14:textId="5EF05A30" w:rsidR="00F94504" w:rsidRDefault="00E82C4A" w:rsidP="00F94504">
      <w:pPr>
        <w:rPr>
          <w:rFonts w:asciiTheme="minorHAnsi" w:eastAsia="Times New Roman" w:hAnsiTheme="minorHAnsi"/>
          <w:color w:val="4F81BD" w:themeColor="accent1"/>
          <w:sz w:val="28"/>
          <w:szCs w:val="28"/>
        </w:rPr>
      </w:pPr>
      <w:r w:rsidRPr="00E82C4A">
        <w:rPr>
          <w:rFonts w:asciiTheme="minorHAnsi" w:eastAsia="Times New Roman" w:hAnsiTheme="minorHAnsi"/>
          <w:b/>
          <w:bCs/>
          <w:color w:val="4F81BD" w:themeColor="accent1"/>
          <w:sz w:val="28"/>
          <w:szCs w:val="28"/>
        </w:rPr>
        <w:t>Created Date</w:t>
      </w:r>
      <w:r>
        <w:rPr>
          <w:rFonts w:asciiTheme="minorHAnsi" w:eastAsia="Times New Roman" w:hAnsiTheme="minorHAnsi"/>
          <w:b/>
          <w:bCs/>
          <w:color w:val="4F81BD" w:themeColor="accent1"/>
          <w:sz w:val="24"/>
        </w:rPr>
        <w:t>:</w:t>
      </w:r>
      <w:r w:rsidR="002A2269">
        <w:rPr>
          <w:rFonts w:asciiTheme="minorHAnsi" w:eastAsia="Times New Roman" w:hAnsiTheme="minorHAnsi"/>
          <w:b/>
          <w:bCs/>
          <w:color w:val="4F81BD" w:themeColor="accent1"/>
          <w:sz w:val="24"/>
        </w:rPr>
        <w:tab/>
      </w:r>
      <w:r w:rsidR="002A2269">
        <w:rPr>
          <w:rFonts w:asciiTheme="minorHAnsi" w:eastAsia="Times New Roman" w:hAnsiTheme="minorHAnsi"/>
          <w:b/>
          <w:bCs/>
          <w:color w:val="4F81BD" w:themeColor="accent1"/>
          <w:sz w:val="24"/>
        </w:rPr>
        <w:tab/>
      </w:r>
      <w:r w:rsidR="002A2269" w:rsidRPr="000371EE">
        <w:rPr>
          <w:rFonts w:asciiTheme="minorHAnsi" w:eastAsia="Times New Roman" w:hAnsiTheme="minorHAnsi"/>
          <w:color w:val="4F81BD" w:themeColor="accent1"/>
          <w:sz w:val="28"/>
          <w:szCs w:val="28"/>
        </w:rPr>
        <w:t>9/5/2012</w:t>
      </w:r>
      <w:r w:rsidR="004600D9" w:rsidRPr="006D4A86">
        <w:rPr>
          <w:rFonts w:asciiTheme="minorHAnsi" w:eastAsia="Times New Roman" w:hAnsiTheme="minorHAnsi"/>
          <w:color w:val="4F81BD" w:themeColor="accent1"/>
          <w:sz w:val="24"/>
        </w:rPr>
        <w:br/>
      </w:r>
      <w:r w:rsidR="004600D9" w:rsidRPr="00E82C4A">
        <w:rPr>
          <w:rFonts w:asciiTheme="minorHAnsi" w:eastAsia="Times New Roman" w:hAnsiTheme="minorHAnsi"/>
          <w:b/>
          <w:bCs/>
          <w:color w:val="4F81BD" w:themeColor="accent1"/>
          <w:sz w:val="28"/>
          <w:szCs w:val="28"/>
        </w:rPr>
        <w:t>Old/Additional ID</w:t>
      </w:r>
      <w:r w:rsidR="004600D9" w:rsidRPr="006D4A86">
        <w:rPr>
          <w:rFonts w:asciiTheme="minorHAnsi" w:eastAsia="Times New Roman" w:hAnsiTheme="minorHAnsi"/>
          <w:b/>
          <w:bCs/>
          <w:color w:val="4F81BD" w:themeColor="accent1"/>
          <w:sz w:val="24"/>
        </w:rPr>
        <w:t xml:space="preserve">: </w:t>
      </w:r>
      <w:r>
        <w:rPr>
          <w:rFonts w:asciiTheme="minorHAnsi" w:eastAsia="Times New Roman" w:hAnsiTheme="minorHAnsi"/>
          <w:b/>
          <w:bCs/>
          <w:color w:val="4F81BD" w:themeColor="accent1"/>
          <w:sz w:val="24"/>
        </w:rPr>
        <w:tab/>
      </w:r>
      <w:r w:rsidR="004600D9" w:rsidRPr="00F94504">
        <w:rPr>
          <w:rFonts w:asciiTheme="minorHAnsi" w:eastAsia="Times New Roman" w:hAnsiTheme="minorHAnsi"/>
          <w:color w:val="4F81BD" w:themeColor="accent1"/>
          <w:sz w:val="24"/>
        </w:rPr>
        <w:t>[</w:t>
      </w:r>
      <w:r w:rsidR="004600D9" w:rsidRPr="00F94504">
        <w:rPr>
          <w:rFonts w:asciiTheme="minorHAnsi" w:eastAsia="Times New Roman" w:hAnsiTheme="minorHAnsi"/>
          <w:color w:val="4F81BD" w:themeColor="accent1"/>
          <w:sz w:val="28"/>
          <w:szCs w:val="28"/>
        </w:rPr>
        <w:t>NV-97-08; NV-05-01] (70 FR 71142, 11/25/2005</w:t>
      </w:r>
      <w:proofErr w:type="gramStart"/>
      <w:r w:rsidR="004600D9" w:rsidRPr="00F94504">
        <w:rPr>
          <w:rFonts w:asciiTheme="minorHAnsi" w:eastAsia="Times New Roman" w:hAnsiTheme="minorHAnsi"/>
          <w:color w:val="4F81BD" w:themeColor="accent1"/>
          <w:sz w:val="28"/>
          <w:szCs w:val="28"/>
        </w:rPr>
        <w:t>);</w:t>
      </w:r>
      <w:proofErr w:type="gramEnd"/>
      <w:r w:rsidR="004600D9" w:rsidRPr="00F94504">
        <w:rPr>
          <w:rFonts w:asciiTheme="minorHAnsi" w:eastAsia="Times New Roman" w:hAnsiTheme="minorHAnsi"/>
          <w:color w:val="4F81BD" w:themeColor="accent1"/>
          <w:sz w:val="28"/>
          <w:szCs w:val="28"/>
        </w:rPr>
        <w:t xml:space="preserve"> </w:t>
      </w:r>
    </w:p>
    <w:p w14:paraId="6328FC2C" w14:textId="7B4AD3C5" w:rsidR="004600D9" w:rsidRPr="00F94504" w:rsidRDefault="004600D9" w:rsidP="00F94504">
      <w:pPr>
        <w:ind w:left="2160" w:firstLine="720"/>
        <w:rPr>
          <w:rFonts w:asciiTheme="minorHAnsi" w:eastAsia="Times New Roman" w:hAnsiTheme="minorHAnsi"/>
          <w:color w:val="4F81BD" w:themeColor="accent1"/>
          <w:sz w:val="24"/>
        </w:rPr>
      </w:pPr>
      <w:r w:rsidRPr="00F94504">
        <w:rPr>
          <w:rFonts w:asciiTheme="minorHAnsi" w:eastAsia="Times New Roman" w:hAnsiTheme="minorHAnsi"/>
          <w:color w:val="4F81BD" w:themeColor="accent1"/>
          <w:sz w:val="28"/>
          <w:szCs w:val="28"/>
        </w:rPr>
        <w:t>[NV-11-15</w:t>
      </w:r>
      <w:r w:rsidR="00461E88">
        <w:rPr>
          <w:rFonts w:asciiTheme="minorHAnsi" w:eastAsia="Times New Roman" w:hAnsiTheme="minorHAnsi"/>
          <w:color w:val="4F81BD" w:themeColor="accent1"/>
          <w:sz w:val="28"/>
          <w:szCs w:val="28"/>
        </w:rPr>
        <w:t>]</w:t>
      </w:r>
    </w:p>
    <w:p w14:paraId="365F1786" w14:textId="615B34E5" w:rsidR="004600D9" w:rsidRPr="006D4A86" w:rsidRDefault="00590468" w:rsidP="004600D9">
      <w:pPr>
        <w:rPr>
          <w:rFonts w:asciiTheme="minorHAnsi" w:eastAsia="Times New Roman" w:hAnsiTheme="minorHAnsi"/>
          <w:color w:val="4F81BD" w:themeColor="accent1"/>
          <w:sz w:val="24"/>
        </w:rPr>
      </w:pPr>
      <w:r>
        <w:rPr>
          <w:rFonts w:asciiTheme="minorHAnsi" w:eastAsia="Times New Roman" w:hAnsiTheme="minorHAnsi"/>
          <w:sz w:val="24"/>
        </w:rPr>
        <w:t>_________________________________________________________________________</w:t>
      </w:r>
    </w:p>
    <w:p w14:paraId="3E71EC9F" w14:textId="6180C12A" w:rsidR="004B1BD5" w:rsidRDefault="004600D9" w:rsidP="004600D9">
      <w:pPr>
        <w:rPr>
          <w:rFonts w:ascii="Times New Roman" w:eastAsia="Times New Roman" w:hAnsi="Times New Roman"/>
          <w:color w:val="000000"/>
          <w:sz w:val="24"/>
        </w:rPr>
      </w:pPr>
      <w:r w:rsidRPr="004600D9">
        <w:rPr>
          <w:rFonts w:ascii="Times New Roman" w:eastAsia="Times New Roman" w:hAnsi="Times New Roman"/>
          <w:color w:val="000000"/>
          <w:sz w:val="24"/>
        </w:rPr>
        <w:br/>
      </w:r>
      <w:r w:rsidRPr="004600D9">
        <w:rPr>
          <w:rFonts w:ascii="Times New Roman" w:eastAsia="Times New Roman" w:hAnsi="Times New Roman"/>
          <w:b/>
          <w:bCs/>
          <w:color w:val="000000"/>
          <w:sz w:val="24"/>
        </w:rPr>
        <w:t xml:space="preserve">Effective Date: </w:t>
      </w:r>
      <w:r w:rsidR="00E82C4A">
        <w:rPr>
          <w:rFonts w:ascii="Times New Roman" w:eastAsia="Times New Roman" w:hAnsi="Times New Roman"/>
          <w:b/>
          <w:bCs/>
          <w:color w:val="000000"/>
          <w:sz w:val="24"/>
        </w:rPr>
        <w:tab/>
      </w:r>
      <w:r w:rsidR="00E82C4A">
        <w:rPr>
          <w:rFonts w:ascii="Times New Roman" w:eastAsia="Times New Roman" w:hAnsi="Times New Roman"/>
          <w:b/>
          <w:bCs/>
          <w:color w:val="000000"/>
          <w:sz w:val="24"/>
        </w:rPr>
        <w:tab/>
      </w:r>
      <w:r w:rsidR="002C5A97">
        <w:rPr>
          <w:rFonts w:ascii="Times New Roman" w:hAnsi="Times New Roman"/>
          <w:color w:val="000000"/>
          <w:sz w:val="24"/>
          <w:szCs w:val="32"/>
        </w:rPr>
        <w:t>12</w:t>
      </w:r>
      <w:r w:rsidR="002C5A97" w:rsidRPr="002C5A97">
        <w:rPr>
          <w:rFonts w:ascii="Times New Roman" w:hAnsi="Times New Roman"/>
          <w:color w:val="000000"/>
          <w:sz w:val="24"/>
          <w:szCs w:val="32"/>
        </w:rPr>
        <w:t>-</w:t>
      </w:r>
      <w:r w:rsidR="002C5A97">
        <w:rPr>
          <w:rFonts w:ascii="Times New Roman" w:hAnsi="Times New Roman"/>
          <w:color w:val="000000"/>
          <w:sz w:val="24"/>
          <w:szCs w:val="32"/>
        </w:rPr>
        <w:t>SEP-</w:t>
      </w:r>
      <w:r w:rsidR="002C5A97" w:rsidRPr="002C5A97">
        <w:rPr>
          <w:rFonts w:ascii="Times New Roman" w:hAnsi="Times New Roman"/>
          <w:color w:val="000000"/>
          <w:sz w:val="24"/>
          <w:szCs w:val="32"/>
        </w:rPr>
        <w:t>22</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r>
      <w:r w:rsidRPr="004600D9">
        <w:rPr>
          <w:rFonts w:ascii="Times New Roman" w:eastAsia="Times New Roman" w:hAnsi="Times New Roman"/>
          <w:b/>
          <w:bCs/>
          <w:color w:val="000000"/>
          <w:sz w:val="24"/>
        </w:rPr>
        <w:t xml:space="preserve">Effect on Previous Action: </w:t>
      </w:r>
      <w:r w:rsidR="004B1BD5">
        <w:rPr>
          <w:rFonts w:ascii="Times New Roman" w:eastAsia="Times New Roman" w:hAnsi="Times New Roman"/>
          <w:b/>
          <w:bCs/>
          <w:color w:val="000000"/>
          <w:sz w:val="24"/>
        </w:rPr>
        <w:tab/>
      </w:r>
      <w:r w:rsidRPr="004600D9">
        <w:rPr>
          <w:rFonts w:ascii="Times New Roman" w:eastAsia="Times New Roman" w:hAnsi="Times New Roman"/>
          <w:color w:val="000000"/>
          <w:sz w:val="24"/>
        </w:rPr>
        <w:t>Originally adopted 16-JUL-92 (</w:t>
      </w:r>
      <w:r w:rsidRPr="004600D9">
        <w:rPr>
          <w:rFonts w:ascii="Times New Roman" w:eastAsia="Times New Roman" w:hAnsi="Times New Roman"/>
          <w:color w:val="000000"/>
          <w:sz w:val="24"/>
          <w:u w:val="single"/>
        </w:rPr>
        <w:t>see</w:t>
      </w:r>
      <w:r w:rsidRPr="004600D9">
        <w:rPr>
          <w:rFonts w:ascii="Times New Roman" w:eastAsia="Times New Roman" w:hAnsi="Times New Roman"/>
          <w:color w:val="000000"/>
          <w:sz w:val="24"/>
        </w:rPr>
        <w:t xml:space="preserve"> </w:t>
      </w:r>
      <w:hyperlink r:id="rId9" w:history="1">
        <w:r w:rsidRPr="004600D9">
          <w:rPr>
            <w:rFonts w:ascii="Times New Roman" w:eastAsia="Times New Roman" w:hAnsi="Times New Roman"/>
            <w:color w:val="0000FF"/>
            <w:sz w:val="24"/>
            <w:u w:val="single"/>
          </w:rPr>
          <w:t>57 FR 33198, July 27, 1992</w:t>
        </w:r>
      </w:hyperlink>
      <w:proofErr w:type="gramStart"/>
      <w:r w:rsidRPr="004600D9">
        <w:rPr>
          <w:rFonts w:ascii="Times New Roman" w:eastAsia="Times New Roman" w:hAnsi="Times New Roman"/>
          <w:color w:val="000000"/>
          <w:sz w:val="24"/>
        </w:rPr>
        <w:t>);</w:t>
      </w:r>
      <w:proofErr w:type="gramEnd"/>
      <w:r w:rsidRPr="004600D9">
        <w:rPr>
          <w:rFonts w:ascii="Times New Roman" w:eastAsia="Times New Roman" w:hAnsi="Times New Roman"/>
          <w:color w:val="000000"/>
          <w:sz w:val="24"/>
        </w:rPr>
        <w:t xml:space="preserve"> </w:t>
      </w:r>
    </w:p>
    <w:p w14:paraId="3D5940E5" w14:textId="7194ED3C" w:rsidR="00DB49F3" w:rsidRPr="00E354E2" w:rsidRDefault="004600D9" w:rsidP="004B1BD5">
      <w:pPr>
        <w:ind w:left="2880"/>
        <w:rPr>
          <w:rFonts w:ascii="Times New Roman" w:eastAsia="Times New Roman" w:hAnsi="Times New Roman"/>
          <w:sz w:val="24"/>
        </w:rPr>
      </w:pPr>
      <w:r w:rsidRPr="004600D9">
        <w:rPr>
          <w:rFonts w:ascii="Times New Roman" w:eastAsia="Times New Roman" w:hAnsi="Times New Roman"/>
          <w:color w:val="000000"/>
          <w:sz w:val="24"/>
        </w:rPr>
        <w:t>amended 30-MAY-96; amended 10-FEB-97; amended 08-JUL-11</w:t>
      </w:r>
      <w:r w:rsidR="000B1380">
        <w:rPr>
          <w:rFonts w:ascii="Times New Roman" w:eastAsia="Times New Roman" w:hAnsi="Times New Roman"/>
          <w:color w:val="000000"/>
          <w:sz w:val="24"/>
        </w:rPr>
        <w:t xml:space="preserve"> </w:t>
      </w:r>
      <w:r w:rsidR="004579B4">
        <w:rPr>
          <w:rFonts w:ascii="Times New Roman" w:eastAsia="Times New Roman" w:hAnsi="Times New Roman"/>
          <w:color w:val="000000"/>
          <w:sz w:val="24"/>
        </w:rPr>
        <w:t>(</w:t>
      </w:r>
      <w:r w:rsidR="004579B4" w:rsidRPr="00E354E2">
        <w:rPr>
          <w:rFonts w:ascii="Times New Roman" w:eastAsia="Times New Roman" w:hAnsi="Times New Roman"/>
          <w:color w:val="000000"/>
          <w:sz w:val="24"/>
          <w:u w:val="single"/>
        </w:rPr>
        <w:t>s</w:t>
      </w:r>
      <w:r w:rsidR="004B1BD5" w:rsidRPr="00E354E2">
        <w:rPr>
          <w:rFonts w:ascii="Times New Roman" w:eastAsia="Times New Roman" w:hAnsi="Times New Roman"/>
          <w:color w:val="000000"/>
          <w:sz w:val="24"/>
          <w:u w:val="single"/>
        </w:rPr>
        <w:t>e</w:t>
      </w:r>
      <w:r w:rsidR="004B1BD5" w:rsidRPr="00A84F52">
        <w:rPr>
          <w:rFonts w:ascii="Times New Roman" w:eastAsia="Times New Roman" w:hAnsi="Times New Roman"/>
          <w:color w:val="000000"/>
          <w:sz w:val="24"/>
          <w:u w:val="single"/>
        </w:rPr>
        <w:t>e</w:t>
      </w:r>
      <w:r w:rsidR="004B1BD5">
        <w:rPr>
          <w:rFonts w:ascii="Times New Roman" w:eastAsia="Times New Roman" w:hAnsi="Times New Roman"/>
          <w:color w:val="000000"/>
          <w:sz w:val="24"/>
        </w:rPr>
        <w:t xml:space="preserve"> </w:t>
      </w:r>
      <w:hyperlink r:id="rId10" w:history="1">
        <w:r w:rsidR="00E354E2">
          <w:rPr>
            <w:rStyle w:val="Hyperlink"/>
            <w:rFonts w:ascii="Times New Roman" w:eastAsia="Times New Roman" w:hAnsi="Times New Roman"/>
            <w:sz w:val="24"/>
          </w:rPr>
          <w:t>76 FR 54638, Sept. 1, 2011</w:t>
        </w:r>
      </w:hyperlink>
      <w:r w:rsidR="00217D85">
        <w:rPr>
          <w:rFonts w:ascii="Times New Roman" w:eastAsia="Times New Roman" w:hAnsi="Times New Roman"/>
          <w:sz w:val="24"/>
        </w:rPr>
        <w:t>).</w:t>
      </w:r>
    </w:p>
    <w:p w14:paraId="6D917FB3" w14:textId="2B9824BF" w:rsidR="00DB49F3" w:rsidRPr="00E354E2" w:rsidRDefault="00DB49F3" w:rsidP="00DB49F3">
      <w:pPr>
        <w:rPr>
          <w:rFonts w:ascii="Times New Roman" w:eastAsia="Times New Roman" w:hAnsi="Times New Roman"/>
          <w:sz w:val="24"/>
        </w:rPr>
      </w:pPr>
    </w:p>
    <w:p w14:paraId="043AF4A9"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b/>
          <w:bCs/>
          <w:color w:val="000000"/>
          <w:sz w:val="24"/>
        </w:rPr>
        <w:t xml:space="preserve">Source of Authority: </w:t>
      </w:r>
      <w:r w:rsidR="00DB49F3">
        <w:rPr>
          <w:rFonts w:ascii="Times New Roman" w:eastAsia="Times New Roman" w:hAnsi="Times New Roman"/>
          <w:b/>
          <w:bCs/>
          <w:color w:val="000000"/>
          <w:sz w:val="24"/>
        </w:rPr>
        <w:tab/>
      </w:r>
      <w:r w:rsidRPr="004600D9">
        <w:rPr>
          <w:rFonts w:ascii="Times New Roman" w:eastAsia="Times New Roman" w:hAnsi="Times New Roman"/>
          <w:color w:val="000000"/>
          <w:sz w:val="24"/>
        </w:rPr>
        <w:t>Administrative Dispute Resolution Act of</w:t>
      </w:r>
      <w:r w:rsidR="00DB49F3">
        <w:rPr>
          <w:rFonts w:ascii="Times New Roman" w:eastAsia="Times New Roman" w:hAnsi="Times New Roman"/>
          <w:color w:val="000000"/>
          <w:sz w:val="24"/>
        </w:rPr>
        <w:t xml:space="preserve"> </w:t>
      </w:r>
      <w:r w:rsidRPr="004600D9">
        <w:rPr>
          <w:rFonts w:ascii="Times New Roman" w:eastAsia="Times New Roman" w:hAnsi="Times New Roman"/>
          <w:color w:val="000000"/>
          <w:sz w:val="24"/>
        </w:rPr>
        <w:t xml:space="preserve">1996, Public Law 104-320, 110 Stat. 3870 (1996), and codified at 5 U.S.C. 571 </w:t>
      </w:r>
      <w:r w:rsidRPr="004600D9">
        <w:rPr>
          <w:rFonts w:ascii="Times New Roman" w:eastAsia="Times New Roman" w:hAnsi="Times New Roman"/>
          <w:color w:val="000000"/>
          <w:sz w:val="24"/>
          <w:u w:val="single"/>
        </w:rPr>
        <w:t>et</w:t>
      </w:r>
      <w:r w:rsidRPr="004600D9">
        <w:rPr>
          <w:rFonts w:ascii="Times New Roman" w:eastAsia="Times New Roman" w:hAnsi="Times New Roman"/>
          <w:color w:val="000000"/>
          <w:sz w:val="24"/>
        </w:rPr>
        <w:t xml:space="preserve"> </w:t>
      </w:r>
      <w:r w:rsidRPr="004600D9">
        <w:rPr>
          <w:rFonts w:ascii="Times New Roman" w:eastAsia="Times New Roman" w:hAnsi="Times New Roman"/>
          <w:color w:val="000000"/>
          <w:sz w:val="24"/>
          <w:u w:val="single"/>
        </w:rPr>
        <w:t>seq</w:t>
      </w:r>
      <w:r w:rsidRPr="004600D9">
        <w:rPr>
          <w:rFonts w:ascii="Times New Roman" w:eastAsia="Times New Roman" w:hAnsi="Times New Roman"/>
          <w:color w:val="000000"/>
          <w:sz w:val="24"/>
        </w:rPr>
        <w:t>.</w:t>
      </w:r>
    </w:p>
    <w:p w14:paraId="7F983278" w14:textId="77777777" w:rsidR="009277D8" w:rsidRDefault="009277D8" w:rsidP="00DB49F3">
      <w:pPr>
        <w:ind w:left="2880" w:hanging="2880"/>
        <w:rPr>
          <w:rFonts w:ascii="Times New Roman" w:eastAsia="Times New Roman" w:hAnsi="Times New Roman"/>
          <w:color w:val="000000"/>
          <w:sz w:val="24"/>
        </w:rPr>
      </w:pPr>
    </w:p>
    <w:p w14:paraId="64C7DAEE"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The Administrative Dispute Resolution Act of 1996 (Act), addresses the concern that traditional </w:t>
      </w:r>
    </w:p>
    <w:p w14:paraId="0611ECC6"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methods of dispute resolution, such as litigation and administrative adjudication, have become </w:t>
      </w:r>
    </w:p>
    <w:p w14:paraId="5542A977"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increasingly time-consuming and expensive. The Act authorizes and encourages greater use of </w:t>
      </w:r>
    </w:p>
    <w:p w14:paraId="4108D6B2"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alternative means of dispute resolution (ADR), requiring each Federal agency to adopt</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 xml:space="preserve">a policy </w:t>
      </w:r>
    </w:p>
    <w:p w14:paraId="167058FC"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addressing</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the use of ADR.</w:t>
      </w:r>
    </w:p>
    <w:p w14:paraId="4EF03F4F" w14:textId="77777777" w:rsidR="009277D8" w:rsidRDefault="009277D8" w:rsidP="00DB49F3">
      <w:pPr>
        <w:ind w:left="2880" w:hanging="2880"/>
        <w:rPr>
          <w:rFonts w:ascii="Times New Roman" w:eastAsia="Times New Roman" w:hAnsi="Times New Roman"/>
          <w:color w:val="000000"/>
          <w:sz w:val="24"/>
        </w:rPr>
      </w:pPr>
    </w:p>
    <w:p w14:paraId="760AB610"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ADR consists of informal, voluntary procedures used by parties who seek to resolve </w:t>
      </w:r>
      <w:proofErr w:type="gramStart"/>
      <w:r w:rsidRPr="004600D9">
        <w:rPr>
          <w:rFonts w:ascii="Times New Roman" w:eastAsia="Times New Roman" w:hAnsi="Times New Roman"/>
          <w:color w:val="000000"/>
          <w:sz w:val="24"/>
        </w:rPr>
        <w:t>their</w:t>
      </w:r>
      <w:proofErr w:type="gramEnd"/>
      <w:r w:rsidRPr="004600D9">
        <w:rPr>
          <w:rFonts w:ascii="Times New Roman" w:eastAsia="Times New Roman" w:hAnsi="Times New Roman"/>
          <w:color w:val="000000"/>
          <w:sz w:val="24"/>
        </w:rPr>
        <w:t xml:space="preserve"> </w:t>
      </w:r>
    </w:p>
    <w:p w14:paraId="17A1F572"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disputes by consent. Such procedures include, but are not limited to, mediation, conciliation, </w:t>
      </w:r>
    </w:p>
    <w:p w14:paraId="4F7276B1"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facilitation, fact-finding, arbitration, and mini-trials, or any combination thereof. By emphasizing </w:t>
      </w:r>
    </w:p>
    <w:p w14:paraId="3F18002B"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the</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 xml:space="preserve">common goals of the parties and fostering an atmosphere of cooperation, ADR can offer a </w:t>
      </w:r>
    </w:p>
    <w:p w14:paraId="118AAEFD"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less contentious and more expeditious alternative to traditional methods of dispute resolution </w:t>
      </w:r>
    </w:p>
    <w:p w14:paraId="3650ED59"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such as litigation and administrative adjudication.</w:t>
      </w:r>
    </w:p>
    <w:p w14:paraId="0C03A823" w14:textId="77777777" w:rsidR="009277D8" w:rsidRDefault="009277D8" w:rsidP="00DB49F3">
      <w:pPr>
        <w:ind w:left="2880" w:hanging="2880"/>
        <w:rPr>
          <w:rFonts w:ascii="Times New Roman" w:eastAsia="Times New Roman" w:hAnsi="Times New Roman"/>
          <w:color w:val="000000"/>
          <w:sz w:val="24"/>
        </w:rPr>
      </w:pPr>
    </w:p>
    <w:p w14:paraId="15495184"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The use of ADR in appropriate circumstances is consistent with the Farm Credit Administration's </w:t>
      </w:r>
    </w:p>
    <w:p w14:paraId="12A8862C" w14:textId="77777777"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(FCA or Agency) mission as an agency. To promote a safe and sound, competitive Farm Credit</w:t>
      </w:r>
    </w:p>
    <w:p w14:paraId="5CC0B02A" w14:textId="729E1735"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System, the FCA always strives to </w:t>
      </w:r>
      <w:proofErr w:type="gramStart"/>
      <w:r w:rsidRPr="004600D9">
        <w:rPr>
          <w:rFonts w:ascii="Times New Roman" w:eastAsia="Times New Roman" w:hAnsi="Times New Roman"/>
          <w:color w:val="000000"/>
          <w:sz w:val="24"/>
        </w:rPr>
        <w:t>effectively and efficiently manage its resources</w:t>
      </w:r>
      <w:proofErr w:type="gramEnd"/>
      <w:r w:rsidRPr="004600D9">
        <w:rPr>
          <w:rFonts w:ascii="Times New Roman" w:eastAsia="Times New Roman" w:hAnsi="Times New Roman"/>
          <w:color w:val="000000"/>
          <w:sz w:val="24"/>
        </w:rPr>
        <w:t>. By</w:t>
      </w:r>
    </w:p>
    <w:p w14:paraId="2D69D581" w14:textId="503093AC" w:rsidR="009277D8"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expediting the resolution of certain disputes, ADR can reduce the FCA's transaction costs, </w:t>
      </w:r>
    </w:p>
    <w:p w14:paraId="36444002" w14:textId="673312EC" w:rsidR="002C272D" w:rsidRDefault="004600D9" w:rsidP="00DB49F3">
      <w:pPr>
        <w:ind w:left="2880" w:hanging="2880"/>
        <w:rPr>
          <w:rFonts w:ascii="Times New Roman" w:eastAsia="Times New Roman" w:hAnsi="Times New Roman"/>
          <w:color w:val="000000"/>
          <w:sz w:val="24"/>
        </w:rPr>
      </w:pPr>
      <w:r w:rsidRPr="004600D9">
        <w:rPr>
          <w:rFonts w:ascii="Times New Roman" w:eastAsia="Times New Roman" w:hAnsi="Times New Roman"/>
          <w:color w:val="000000"/>
          <w:sz w:val="24"/>
        </w:rPr>
        <w:t xml:space="preserve">increase the FCA's </w:t>
      </w:r>
      <w:proofErr w:type="gramStart"/>
      <w:r w:rsidRPr="004600D9">
        <w:rPr>
          <w:rFonts w:ascii="Times New Roman" w:eastAsia="Times New Roman" w:hAnsi="Times New Roman"/>
          <w:color w:val="000000"/>
          <w:sz w:val="24"/>
        </w:rPr>
        <w:t>productivity, and</w:t>
      </w:r>
      <w:proofErr w:type="gramEnd"/>
      <w:r w:rsidRPr="004600D9">
        <w:rPr>
          <w:rFonts w:ascii="Times New Roman" w:eastAsia="Times New Roman" w:hAnsi="Times New Roman"/>
          <w:color w:val="000000"/>
          <w:sz w:val="24"/>
        </w:rPr>
        <w:t xml:space="preserve"> help the FCA accomplish its goals. </w:t>
      </w:r>
      <w:r w:rsidRPr="004600D9">
        <w:rPr>
          <w:rFonts w:ascii="Times New Roman" w:eastAsia="Times New Roman" w:hAnsi="Times New Roman"/>
          <w:color w:val="000000"/>
          <w:sz w:val="24"/>
        </w:rPr>
        <w:br/>
      </w:r>
    </w:p>
    <w:p w14:paraId="1A80D200" w14:textId="486C63BE" w:rsidR="00153E65" w:rsidRDefault="004600D9" w:rsidP="00DB49F3">
      <w:pPr>
        <w:ind w:left="2880" w:hanging="2880"/>
        <w:rPr>
          <w:rFonts w:ascii="Times New Roman" w:eastAsia="Times New Roman" w:hAnsi="Times New Roman"/>
          <w:b/>
          <w:bCs/>
          <w:color w:val="000000"/>
          <w:sz w:val="24"/>
        </w:rPr>
      </w:pPr>
      <w:r w:rsidRPr="004600D9">
        <w:rPr>
          <w:rFonts w:ascii="Times New Roman" w:eastAsia="Times New Roman" w:hAnsi="Times New Roman"/>
          <w:b/>
          <w:bCs/>
          <w:color w:val="000000"/>
          <w:sz w:val="24"/>
        </w:rPr>
        <w:t>THE FCA BOARD HEREBY ADOPTS THE FOLLOWING POLICY STATEMENT:</w:t>
      </w:r>
    </w:p>
    <w:p w14:paraId="082762DA" w14:textId="77777777" w:rsidR="00222379" w:rsidRDefault="00222379" w:rsidP="00222379">
      <w:pPr>
        <w:rPr>
          <w:rFonts w:ascii="Times New Roman" w:eastAsia="Times New Roman" w:hAnsi="Times New Roman"/>
          <w:color w:val="000000"/>
          <w:sz w:val="24"/>
        </w:rPr>
      </w:pPr>
    </w:p>
    <w:p w14:paraId="7FCAA5FB" w14:textId="0AEAE302" w:rsidR="005B148D" w:rsidRDefault="004600D9" w:rsidP="00222379">
      <w:pPr>
        <w:rPr>
          <w:rFonts w:ascii="Times New Roman" w:hAnsi="Times New Roman"/>
          <w:sz w:val="24"/>
        </w:rPr>
      </w:pPr>
      <w:r w:rsidRPr="004600D9">
        <w:rPr>
          <w:rFonts w:ascii="Times New Roman" w:eastAsia="Times New Roman" w:hAnsi="Times New Roman"/>
          <w:color w:val="000000"/>
          <w:sz w:val="24"/>
        </w:rPr>
        <w:t>It is the policy of the FCA to resolve disputes in an effective and efficient manner.</w:t>
      </w:r>
      <w:r w:rsidR="00222379">
        <w:rPr>
          <w:rFonts w:ascii="Times New Roman" w:eastAsia="Times New Roman" w:hAnsi="Times New Roman"/>
          <w:color w:val="000000"/>
          <w:sz w:val="24"/>
        </w:rPr>
        <w:t xml:space="preserve"> </w:t>
      </w:r>
      <w:r w:rsidRPr="004600D9">
        <w:rPr>
          <w:rFonts w:ascii="Times New Roman" w:eastAsia="Times New Roman" w:hAnsi="Times New Roman"/>
          <w:color w:val="000000"/>
          <w:sz w:val="24"/>
        </w:rPr>
        <w:t>Many of the disputes encountered by the FCA are resolved most effectively</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and efficiently through settlement negotiations between the FCA and the other parties</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to the disputes prior to the</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initiation, or in the early stages of, more</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formal litigation or administrative adjudication. The FCA will continue to use settlement negotiations as a method of dispute resolution.</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lastRenderedPageBreak/>
        <w:t>In addition, the FCA will consider</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 xml:space="preserve">whether it is appropriate to use </w:t>
      </w:r>
      <w:r w:rsidR="00DF17D0">
        <w:rPr>
          <w:rFonts w:ascii="Times New Roman" w:eastAsia="Times New Roman" w:hAnsi="Times New Roman"/>
          <w:color w:val="000000"/>
          <w:sz w:val="24"/>
        </w:rPr>
        <w:t>A</w:t>
      </w:r>
      <w:r w:rsidRPr="004600D9">
        <w:rPr>
          <w:rFonts w:ascii="Times New Roman" w:eastAsia="Times New Roman" w:hAnsi="Times New Roman"/>
          <w:color w:val="000000"/>
          <w:sz w:val="24"/>
        </w:rPr>
        <w:t xml:space="preserve">DR when a dispute arises. In assessing the advisability of using ADR procedures, as defined in 5 U.S.C. 571(3), the FCA will consider whether such procedures are likely to reduce the FCA's </w:t>
      </w:r>
      <w:r w:rsidR="00222379">
        <w:rPr>
          <w:rFonts w:ascii="Times New Roman" w:eastAsia="Times New Roman" w:hAnsi="Times New Roman"/>
          <w:color w:val="000000"/>
          <w:sz w:val="24"/>
        </w:rPr>
        <w:t>t</w:t>
      </w:r>
      <w:r w:rsidRPr="004600D9">
        <w:rPr>
          <w:rFonts w:ascii="Times New Roman" w:eastAsia="Times New Roman" w:hAnsi="Times New Roman"/>
          <w:color w:val="000000"/>
          <w:sz w:val="24"/>
        </w:rPr>
        <w:t>ransaction costs, increase the FCA's productivity, and help the FCA accomplish its</w:t>
      </w:r>
      <w:r w:rsidRPr="004600D9">
        <w:rPr>
          <w:rFonts w:ascii="Times New Roman" w:eastAsia="Times New Roman" w:hAnsi="Times New Roman"/>
          <w:b/>
          <w:bCs/>
          <w:color w:val="000000"/>
          <w:sz w:val="24"/>
        </w:rPr>
        <w:t xml:space="preserve"> </w:t>
      </w:r>
      <w:r w:rsidRPr="004600D9">
        <w:rPr>
          <w:rFonts w:ascii="Times New Roman" w:eastAsia="Times New Roman" w:hAnsi="Times New Roman"/>
          <w:color w:val="000000"/>
          <w:sz w:val="24"/>
        </w:rPr>
        <w:t>goals of effective regulations and policies and the enhancement of FCA's effectiveness and cost efficiency. The FCA will also consider the factors set forth in 5 U.S.C. 572(b) in deciding whether it is appropriate to use such ADR procedures.</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t xml:space="preserve">The FCA's Dispute Resolution Specialist (ADR Specialist), </w:t>
      </w:r>
      <w:r w:rsidR="00222379">
        <w:rPr>
          <w:rFonts w:ascii="Times New Roman" w:eastAsia="Times New Roman" w:hAnsi="Times New Roman"/>
          <w:color w:val="000000"/>
          <w:sz w:val="24"/>
        </w:rPr>
        <w:t>d</w:t>
      </w:r>
      <w:r w:rsidRPr="004600D9">
        <w:rPr>
          <w:rFonts w:ascii="Times New Roman" w:eastAsia="Times New Roman" w:hAnsi="Times New Roman"/>
          <w:color w:val="000000"/>
          <w:sz w:val="24"/>
        </w:rPr>
        <w:t>esignated by the Chairman, is responsible for the implementation of this policy statement. The ADR Specialist is available to assist FCA personnel in considering the appropriate application of ADR procedures. Before deciding whether it is appropriate to use an ADR procedure, FCA personnel will consult with, and obtain the concurrence of, the ADR Specialist or his or her designee.</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t xml:space="preserve">The ADR Specialist and those FCA personnel involved in </w:t>
      </w:r>
      <w:r w:rsidR="00222379">
        <w:rPr>
          <w:rFonts w:ascii="Times New Roman" w:eastAsia="Times New Roman" w:hAnsi="Times New Roman"/>
          <w:color w:val="000000"/>
          <w:sz w:val="24"/>
        </w:rPr>
        <w:t>r</w:t>
      </w:r>
      <w:r w:rsidRPr="004600D9">
        <w:rPr>
          <w:rFonts w:ascii="Times New Roman" w:eastAsia="Times New Roman" w:hAnsi="Times New Roman"/>
          <w:color w:val="000000"/>
          <w:sz w:val="24"/>
        </w:rPr>
        <w:t>esolving disputes are encouraged to attend educational and training programs relating to the theory and application of ADR on a regular basis, as the FCA budget permits.</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r>
      <w:r w:rsidR="00545CCB" w:rsidRPr="005B148D">
        <w:rPr>
          <w:rFonts w:ascii="Times New Roman" w:hAnsi="Times New Roman"/>
          <w:sz w:val="24"/>
        </w:rPr>
        <w:t>Because ADR is voluntary, FCA and the other party(</w:t>
      </w:r>
      <w:proofErr w:type="spellStart"/>
      <w:r w:rsidR="00DF17D0">
        <w:rPr>
          <w:rFonts w:ascii="Times New Roman" w:hAnsi="Times New Roman"/>
          <w:sz w:val="24"/>
        </w:rPr>
        <w:t>ies</w:t>
      </w:r>
      <w:proofErr w:type="spellEnd"/>
      <w:r w:rsidR="00545CCB" w:rsidRPr="005B148D">
        <w:rPr>
          <w:rFonts w:ascii="Times New Roman" w:hAnsi="Times New Roman"/>
          <w:sz w:val="24"/>
        </w:rPr>
        <w:t xml:space="preserve">) to </w:t>
      </w:r>
      <w:r w:rsidR="00A60FE0">
        <w:rPr>
          <w:rFonts w:ascii="Times New Roman" w:hAnsi="Times New Roman"/>
          <w:sz w:val="24"/>
        </w:rPr>
        <w:t>d</w:t>
      </w:r>
      <w:r w:rsidR="00545CCB" w:rsidRPr="005B148D">
        <w:rPr>
          <w:rFonts w:ascii="Times New Roman" w:hAnsi="Times New Roman"/>
          <w:sz w:val="24"/>
        </w:rPr>
        <w:t xml:space="preserve">ispute must agree to use ADR before it can be initiated.  </w:t>
      </w:r>
      <w:r w:rsidR="008B52A8" w:rsidRPr="005B148D">
        <w:rPr>
          <w:rFonts w:ascii="Times New Roman" w:hAnsi="Times New Roman"/>
          <w:sz w:val="24"/>
        </w:rPr>
        <w:t>When ADR is conducted, relevant agency management is required to participate in the proceedings</w:t>
      </w:r>
      <w:r w:rsidR="008B52A8">
        <w:rPr>
          <w:rFonts w:ascii="Times New Roman" w:hAnsi="Times New Roman"/>
          <w:sz w:val="24"/>
        </w:rPr>
        <w:t>.</w:t>
      </w:r>
    </w:p>
    <w:p w14:paraId="3777648D" w14:textId="77777777" w:rsidR="00DF17D0" w:rsidRDefault="004600D9" w:rsidP="004600D9">
      <w:pPr>
        <w:rPr>
          <w:rFonts w:ascii="Times New Roman" w:eastAsia="Times New Roman" w:hAnsi="Times New Roman"/>
          <w:b/>
          <w:bCs/>
          <w:color w:val="000000"/>
          <w:sz w:val="24"/>
        </w:rPr>
      </w:pPr>
      <w:r w:rsidRPr="004600D9">
        <w:rPr>
          <w:rFonts w:ascii="Times New Roman" w:eastAsia="Times New Roman" w:hAnsi="Times New Roman"/>
          <w:color w:val="000000"/>
          <w:sz w:val="24"/>
        </w:rPr>
        <w:br/>
      </w:r>
    </w:p>
    <w:p w14:paraId="635B159F" w14:textId="3798A855" w:rsidR="00A60FE0" w:rsidRDefault="004600D9" w:rsidP="004600D9">
      <w:pPr>
        <w:rPr>
          <w:rFonts w:ascii="Times New Roman" w:eastAsia="Times New Roman" w:hAnsi="Times New Roman"/>
          <w:b/>
          <w:bCs/>
          <w:color w:val="000000"/>
          <w:sz w:val="24"/>
        </w:rPr>
      </w:pPr>
      <w:r w:rsidRPr="004600D9">
        <w:rPr>
          <w:rFonts w:ascii="Times New Roman" w:eastAsia="Times New Roman" w:hAnsi="Times New Roman"/>
          <w:b/>
          <w:bCs/>
          <w:color w:val="000000"/>
          <w:sz w:val="24"/>
        </w:rPr>
        <w:t xml:space="preserve">DATED THIS </w:t>
      </w:r>
      <w:r w:rsidR="002C5A97">
        <w:rPr>
          <w:rFonts w:ascii="Times New Roman" w:eastAsia="Times New Roman" w:hAnsi="Times New Roman"/>
          <w:b/>
          <w:bCs/>
          <w:color w:val="000000"/>
          <w:sz w:val="24"/>
        </w:rPr>
        <w:t>12</w:t>
      </w:r>
      <w:r w:rsidR="002C5A97" w:rsidRPr="002C5A97">
        <w:rPr>
          <w:rFonts w:ascii="Times New Roman" w:eastAsia="Times New Roman" w:hAnsi="Times New Roman"/>
          <w:b/>
          <w:bCs/>
          <w:color w:val="000000"/>
          <w:sz w:val="24"/>
          <w:vertAlign w:val="superscript"/>
        </w:rPr>
        <w:t>th</w:t>
      </w:r>
      <w:r w:rsidR="002C5A97">
        <w:rPr>
          <w:rFonts w:ascii="Times New Roman" w:eastAsia="Times New Roman" w:hAnsi="Times New Roman"/>
          <w:b/>
          <w:bCs/>
          <w:color w:val="000000"/>
          <w:sz w:val="24"/>
        </w:rPr>
        <w:t xml:space="preserve"> DAY OF SEPTEMBER</w:t>
      </w:r>
      <w:r w:rsidR="006D080A">
        <w:rPr>
          <w:rFonts w:ascii="Times New Roman" w:eastAsia="Times New Roman" w:hAnsi="Times New Roman"/>
          <w:b/>
          <w:bCs/>
          <w:color w:val="000000"/>
          <w:sz w:val="24"/>
        </w:rPr>
        <w:t xml:space="preserve"> 2022</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r>
      <w:r w:rsidRPr="004600D9">
        <w:rPr>
          <w:rFonts w:ascii="Times New Roman" w:eastAsia="Times New Roman" w:hAnsi="Times New Roman"/>
          <w:b/>
          <w:bCs/>
          <w:color w:val="000000"/>
          <w:sz w:val="24"/>
        </w:rPr>
        <w:t>BY ORDER OF THE BOARD</w:t>
      </w:r>
      <w:r w:rsidRPr="004600D9">
        <w:rPr>
          <w:rFonts w:ascii="Times New Roman" w:eastAsia="Times New Roman" w:hAnsi="Times New Roman"/>
          <w:color w:val="000000"/>
          <w:sz w:val="24"/>
        </w:rPr>
        <w:br/>
      </w:r>
      <w:r w:rsidRPr="004600D9">
        <w:rPr>
          <w:rFonts w:ascii="Times New Roman" w:eastAsia="Times New Roman" w:hAnsi="Times New Roman"/>
          <w:color w:val="000000"/>
          <w:sz w:val="24"/>
        </w:rPr>
        <w:br/>
      </w:r>
    </w:p>
    <w:p w14:paraId="3E587458" w14:textId="75A74A3C" w:rsidR="002C5A97" w:rsidRPr="00A02AEC" w:rsidRDefault="002C5A97" w:rsidP="002C5A97">
      <w:pPr>
        <w:tabs>
          <w:tab w:val="left" w:pos="-720"/>
          <w:tab w:val="left" w:pos="0"/>
          <w:tab w:val="left" w:pos="288"/>
          <w:tab w:val="left" w:pos="396"/>
          <w:tab w:val="left" w:pos="2938"/>
          <w:tab w:val="left" w:pos="8442"/>
          <w:tab w:val="left" w:pos="8924"/>
          <w:tab w:val="left" w:pos="9005"/>
          <w:tab w:val="left" w:pos="9487"/>
          <w:tab w:val="left" w:pos="10080"/>
        </w:tabs>
        <w:suppressAutoHyphens/>
        <w:jc w:val="both"/>
        <w:rPr>
          <w:rFonts w:ascii="Verdana" w:hAnsi="Verdana" w:cstheme="minorHAnsi"/>
          <w:b/>
          <w:spacing w:val="-2"/>
        </w:rPr>
      </w:pPr>
    </w:p>
    <w:p w14:paraId="62743A78" w14:textId="39A3C40C" w:rsidR="002C5A97" w:rsidRPr="000D1E66" w:rsidRDefault="002C5A97" w:rsidP="002C5A97">
      <w:pPr>
        <w:jc w:val="both"/>
        <w:rPr>
          <w:rFonts w:ascii="Verdana" w:hAnsi="Verdana" w:cs="Arial"/>
          <w:bCs/>
        </w:rPr>
      </w:pPr>
      <w:r w:rsidRPr="00A02AEC">
        <w:rPr>
          <w:rFonts w:ascii="Verdana" w:hAnsi="Verdana" w:cs="Arial"/>
          <w:bCs/>
          <w:u w:val="single"/>
        </w:rPr>
        <w:tab/>
      </w:r>
      <w:r w:rsidRPr="00A02AEC">
        <w:rPr>
          <w:rFonts w:ascii="Verdana" w:hAnsi="Verdana" w:cs="Arial"/>
          <w:b/>
          <w:u w:val="single"/>
        </w:rPr>
        <w:tab/>
      </w:r>
      <w:r w:rsidR="000D1E66" w:rsidRPr="000D1E66">
        <w:rPr>
          <w:rFonts w:ascii="Verdana" w:hAnsi="Verdana" w:cs="Arial"/>
          <w:bCs/>
          <w:u w:val="single"/>
        </w:rPr>
        <w:t>/s/</w:t>
      </w:r>
      <w:r w:rsidRPr="000D1E66">
        <w:rPr>
          <w:rFonts w:ascii="Verdana" w:hAnsi="Verdana" w:cs="Arial"/>
          <w:bCs/>
          <w:u w:val="single"/>
        </w:rPr>
        <w:t xml:space="preserve">                  </w:t>
      </w:r>
      <w:r w:rsidRPr="000D1E66">
        <w:rPr>
          <w:rFonts w:ascii="Verdana" w:hAnsi="Verdana" w:cs="Arial"/>
          <w:bCs/>
        </w:rPr>
        <w:tab/>
      </w:r>
      <w:r w:rsidRPr="000D1E66">
        <w:rPr>
          <w:rFonts w:ascii="Verdana" w:hAnsi="Verdana" w:cs="Arial"/>
          <w:bCs/>
        </w:rPr>
        <w:tab/>
      </w:r>
      <w:r w:rsidRPr="000D1E66">
        <w:rPr>
          <w:rFonts w:ascii="Verdana" w:hAnsi="Verdana" w:cs="Arial"/>
          <w:bCs/>
        </w:rPr>
        <w:tab/>
      </w:r>
    </w:p>
    <w:p w14:paraId="1FF3FA04" w14:textId="77777777" w:rsidR="002C5A97" w:rsidRPr="002C5A97" w:rsidRDefault="002C5A97" w:rsidP="002C5A97">
      <w:pPr>
        <w:tabs>
          <w:tab w:val="left" w:pos="-720"/>
          <w:tab w:val="left" w:pos="0"/>
          <w:tab w:val="left" w:pos="288"/>
          <w:tab w:val="left" w:pos="396"/>
          <w:tab w:val="left" w:pos="2938"/>
          <w:tab w:val="left" w:pos="8442"/>
          <w:tab w:val="left" w:pos="8924"/>
          <w:tab w:val="left" w:pos="9005"/>
          <w:tab w:val="left" w:pos="9487"/>
          <w:tab w:val="left" w:pos="10080"/>
        </w:tabs>
        <w:suppressAutoHyphens/>
        <w:rPr>
          <w:rFonts w:ascii="Times New Roman" w:hAnsi="Times New Roman"/>
          <w:spacing w:val="-2"/>
          <w:sz w:val="24"/>
          <w:szCs w:val="32"/>
        </w:rPr>
      </w:pPr>
      <w:r w:rsidRPr="002C5A97">
        <w:rPr>
          <w:rFonts w:ascii="Times New Roman" w:hAnsi="Times New Roman"/>
          <w:spacing w:val="-2"/>
          <w:sz w:val="24"/>
          <w:szCs w:val="32"/>
        </w:rPr>
        <w:t>Ashley Waldron</w:t>
      </w:r>
    </w:p>
    <w:p w14:paraId="6DCB3EEC" w14:textId="77777777" w:rsidR="002C5A97" w:rsidRPr="002C5A97" w:rsidRDefault="002C5A97" w:rsidP="002C5A97">
      <w:pPr>
        <w:tabs>
          <w:tab w:val="left" w:pos="-720"/>
          <w:tab w:val="left" w:pos="0"/>
          <w:tab w:val="left" w:pos="288"/>
          <w:tab w:val="left" w:pos="396"/>
          <w:tab w:val="left" w:pos="2938"/>
          <w:tab w:val="left" w:pos="8442"/>
          <w:tab w:val="left" w:pos="8924"/>
          <w:tab w:val="left" w:pos="9005"/>
          <w:tab w:val="left" w:pos="9487"/>
          <w:tab w:val="left" w:pos="10080"/>
        </w:tabs>
        <w:suppressAutoHyphens/>
        <w:rPr>
          <w:rFonts w:ascii="Times New Roman" w:hAnsi="Times New Roman"/>
          <w:sz w:val="24"/>
          <w:szCs w:val="32"/>
        </w:rPr>
      </w:pPr>
      <w:r w:rsidRPr="002C5A97">
        <w:rPr>
          <w:rFonts w:ascii="Times New Roman" w:hAnsi="Times New Roman"/>
          <w:spacing w:val="-2"/>
          <w:sz w:val="24"/>
          <w:szCs w:val="32"/>
        </w:rPr>
        <w:t>Secretary to the Board</w:t>
      </w:r>
    </w:p>
    <w:p w14:paraId="79164CF6" w14:textId="59A8DDF9" w:rsidR="00246642" w:rsidRPr="00A60FE0" w:rsidRDefault="00246642" w:rsidP="002C5A97"/>
    <w:sectPr w:rsidR="00246642" w:rsidRPr="00A60FE0" w:rsidSect="002C272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E073" w14:textId="77777777" w:rsidR="008D1557" w:rsidRDefault="008D1557" w:rsidP="002C272D">
      <w:r>
        <w:separator/>
      </w:r>
    </w:p>
  </w:endnote>
  <w:endnote w:type="continuationSeparator" w:id="0">
    <w:p w14:paraId="58D8B145" w14:textId="77777777" w:rsidR="008D1557" w:rsidRDefault="008D1557" w:rsidP="002C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DA42" w14:textId="77777777" w:rsidR="002C272D" w:rsidRDefault="002C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FBFE" w14:textId="77777777" w:rsidR="008D1557" w:rsidRDefault="008D1557" w:rsidP="002C272D">
      <w:r>
        <w:separator/>
      </w:r>
    </w:p>
  </w:footnote>
  <w:footnote w:type="continuationSeparator" w:id="0">
    <w:p w14:paraId="19E22CA5" w14:textId="77777777" w:rsidR="008D1557" w:rsidRDefault="008D1557" w:rsidP="002C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D9"/>
    <w:rsid w:val="00016872"/>
    <w:rsid w:val="00032DE2"/>
    <w:rsid w:val="000371EE"/>
    <w:rsid w:val="000B1380"/>
    <w:rsid w:val="000D1E66"/>
    <w:rsid w:val="00153E65"/>
    <w:rsid w:val="00164520"/>
    <w:rsid w:val="00191E26"/>
    <w:rsid w:val="00207117"/>
    <w:rsid w:val="00217D85"/>
    <w:rsid w:val="00222379"/>
    <w:rsid w:val="00246642"/>
    <w:rsid w:val="002A2269"/>
    <w:rsid w:val="002C272D"/>
    <w:rsid w:val="002C5A97"/>
    <w:rsid w:val="00413B48"/>
    <w:rsid w:val="004579B4"/>
    <w:rsid w:val="004600D9"/>
    <w:rsid w:val="00461E88"/>
    <w:rsid w:val="004B1BD5"/>
    <w:rsid w:val="004B66CD"/>
    <w:rsid w:val="00545CCB"/>
    <w:rsid w:val="00590468"/>
    <w:rsid w:val="005B148D"/>
    <w:rsid w:val="005F31B2"/>
    <w:rsid w:val="00623DA4"/>
    <w:rsid w:val="00632FDB"/>
    <w:rsid w:val="00671860"/>
    <w:rsid w:val="006D080A"/>
    <w:rsid w:val="006D4A86"/>
    <w:rsid w:val="00737333"/>
    <w:rsid w:val="007F1C09"/>
    <w:rsid w:val="00863B45"/>
    <w:rsid w:val="008B52A8"/>
    <w:rsid w:val="008D1557"/>
    <w:rsid w:val="008E7F71"/>
    <w:rsid w:val="009277D8"/>
    <w:rsid w:val="00A60FE0"/>
    <w:rsid w:val="00A6447D"/>
    <w:rsid w:val="00A84F52"/>
    <w:rsid w:val="00B57FCD"/>
    <w:rsid w:val="00C70EB3"/>
    <w:rsid w:val="00CF09FE"/>
    <w:rsid w:val="00D726C8"/>
    <w:rsid w:val="00DB49F3"/>
    <w:rsid w:val="00DF17D0"/>
    <w:rsid w:val="00E354E2"/>
    <w:rsid w:val="00E82C4A"/>
    <w:rsid w:val="00EB4E85"/>
    <w:rsid w:val="00F9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C87"/>
  <w15:docId w15:val="{4CFC9AEB-2EA6-4514-91AE-40995E63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1C09"/>
    <w:rPr>
      <w:sz w:val="16"/>
      <w:szCs w:val="16"/>
    </w:rPr>
  </w:style>
  <w:style w:type="paragraph" w:styleId="CommentText">
    <w:name w:val="annotation text"/>
    <w:basedOn w:val="Normal"/>
    <w:link w:val="CommentTextChar"/>
    <w:uiPriority w:val="99"/>
    <w:semiHidden/>
    <w:unhideWhenUsed/>
    <w:rsid w:val="007F1C09"/>
    <w:rPr>
      <w:szCs w:val="20"/>
    </w:rPr>
  </w:style>
  <w:style w:type="character" w:customStyle="1" w:styleId="CommentTextChar">
    <w:name w:val="Comment Text Char"/>
    <w:basedOn w:val="DefaultParagraphFont"/>
    <w:link w:val="CommentText"/>
    <w:uiPriority w:val="99"/>
    <w:semiHidden/>
    <w:rsid w:val="007F1C09"/>
  </w:style>
  <w:style w:type="paragraph" w:styleId="CommentSubject">
    <w:name w:val="annotation subject"/>
    <w:basedOn w:val="CommentText"/>
    <w:next w:val="CommentText"/>
    <w:link w:val="CommentSubjectChar"/>
    <w:uiPriority w:val="99"/>
    <w:semiHidden/>
    <w:unhideWhenUsed/>
    <w:rsid w:val="007F1C09"/>
    <w:rPr>
      <w:b/>
      <w:bCs/>
    </w:rPr>
  </w:style>
  <w:style w:type="character" w:customStyle="1" w:styleId="CommentSubjectChar">
    <w:name w:val="Comment Subject Char"/>
    <w:basedOn w:val="CommentTextChar"/>
    <w:link w:val="CommentSubject"/>
    <w:uiPriority w:val="99"/>
    <w:semiHidden/>
    <w:rsid w:val="007F1C09"/>
    <w:rPr>
      <w:b/>
      <w:bCs/>
    </w:rPr>
  </w:style>
  <w:style w:type="character" w:styleId="Hyperlink">
    <w:name w:val="Hyperlink"/>
    <w:basedOn w:val="DefaultParagraphFont"/>
    <w:uiPriority w:val="99"/>
    <w:unhideWhenUsed/>
    <w:rsid w:val="00E82C4A"/>
    <w:rPr>
      <w:color w:val="0000FF" w:themeColor="hyperlink"/>
      <w:u w:val="single"/>
    </w:rPr>
  </w:style>
  <w:style w:type="character" w:styleId="UnresolvedMention">
    <w:name w:val="Unresolved Mention"/>
    <w:basedOn w:val="DefaultParagraphFont"/>
    <w:uiPriority w:val="99"/>
    <w:semiHidden/>
    <w:unhideWhenUsed/>
    <w:rsid w:val="00E82C4A"/>
    <w:rPr>
      <w:color w:val="605E5C"/>
      <w:shd w:val="clear" w:color="auto" w:fill="E1DFDD"/>
    </w:rPr>
  </w:style>
  <w:style w:type="character" w:styleId="FollowedHyperlink">
    <w:name w:val="FollowedHyperlink"/>
    <w:basedOn w:val="DefaultParagraphFont"/>
    <w:uiPriority w:val="99"/>
    <w:semiHidden/>
    <w:unhideWhenUsed/>
    <w:rsid w:val="00E82C4A"/>
    <w:rPr>
      <w:color w:val="800080" w:themeColor="followedHyperlink"/>
      <w:u w:val="single"/>
    </w:rPr>
  </w:style>
  <w:style w:type="paragraph" w:styleId="Header">
    <w:name w:val="header"/>
    <w:basedOn w:val="Normal"/>
    <w:link w:val="HeaderChar"/>
    <w:uiPriority w:val="99"/>
    <w:unhideWhenUsed/>
    <w:rsid w:val="002C272D"/>
    <w:pPr>
      <w:tabs>
        <w:tab w:val="center" w:pos="4680"/>
        <w:tab w:val="right" w:pos="9360"/>
      </w:tabs>
    </w:pPr>
  </w:style>
  <w:style w:type="character" w:customStyle="1" w:styleId="HeaderChar">
    <w:name w:val="Header Char"/>
    <w:basedOn w:val="DefaultParagraphFont"/>
    <w:link w:val="Header"/>
    <w:uiPriority w:val="99"/>
    <w:rsid w:val="002C272D"/>
    <w:rPr>
      <w:szCs w:val="24"/>
    </w:rPr>
  </w:style>
  <w:style w:type="paragraph" w:styleId="Footer">
    <w:name w:val="footer"/>
    <w:basedOn w:val="Normal"/>
    <w:link w:val="FooterChar"/>
    <w:uiPriority w:val="99"/>
    <w:unhideWhenUsed/>
    <w:rsid w:val="002C272D"/>
    <w:pPr>
      <w:tabs>
        <w:tab w:val="center" w:pos="4680"/>
        <w:tab w:val="right" w:pos="9360"/>
      </w:tabs>
    </w:pPr>
  </w:style>
  <w:style w:type="character" w:customStyle="1" w:styleId="FooterChar">
    <w:name w:val="Footer Char"/>
    <w:basedOn w:val="DefaultParagraphFont"/>
    <w:link w:val="Footer"/>
    <w:uiPriority w:val="99"/>
    <w:rsid w:val="002C272D"/>
    <w:rPr>
      <w:szCs w:val="24"/>
    </w:rPr>
  </w:style>
  <w:style w:type="character" w:styleId="PlaceholderText">
    <w:name w:val="Placeholder Text"/>
    <w:basedOn w:val="DefaultParagraphFont"/>
    <w:uiPriority w:val="99"/>
    <w:semiHidden/>
    <w:rsid w:val="00217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info.gov/content/pkg/FR-2011-09-01/pdf/2011-22203.pdf" TargetMode="External"/><Relationship Id="rId4" Type="http://schemas.openxmlformats.org/officeDocument/2006/relationships/styles" Target="styles.xml"/><Relationship Id="rId9" Type="http://schemas.openxmlformats.org/officeDocument/2006/relationships/hyperlink" Target="https://www.govinfo.gov/content/pkg/FR-2005-11-25/pdf/05-23237.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72ffd16-f325-450a-8d1b-ebb2106a86cc">Policy Statement</Document_x0020_Type>
    <Effective_x0020_Date xmlns="a72ffd16-f325-450a-8d1b-ebb2106a86cc">2022-09-12T04:00:00+00:00</Effective_x0020_Date>
    <Section_x0020_Number xmlns="a72ffd16-f325-450a-8d1b-ebb2106a86cc">FCA-PS-41</Section_x0020_Number>
    <Old_x002f_Additional_x0020_ID xmlns="a72ffd16-f325-450a-8d1b-ebb2106a86cc">[NV-97-08; NV-05-01] (70 FR 71142, 11/25/2005); 
[NV-11-15]
</Old_x002f_Additional_x0020_ID>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Props1.xml><?xml version="1.0" encoding="utf-8"?>
<ds:datastoreItem xmlns:ds="http://schemas.openxmlformats.org/officeDocument/2006/customXml" ds:itemID="{ACA290DE-AD5A-481F-9AFF-2A7E45247AED}"/>
</file>

<file path=customXml/itemProps2.xml><?xml version="1.0" encoding="utf-8"?>
<ds:datastoreItem xmlns:ds="http://schemas.openxmlformats.org/officeDocument/2006/customXml" ds:itemID="{FA4A46EE-A0C3-47F8-A30B-F9BB06D86967}">
  <ds:schemaRefs>
    <ds:schemaRef ds:uri="http://schemas.microsoft.com/sharepoint/v3/contenttype/forms"/>
  </ds:schemaRefs>
</ds:datastoreItem>
</file>

<file path=customXml/itemProps3.xml><?xml version="1.0" encoding="utf-8"?>
<ds:datastoreItem xmlns:ds="http://schemas.openxmlformats.org/officeDocument/2006/customXml" ds:itemID="{24DA5E44-A00C-4F9E-B1F0-587F66B90914}">
  <ds:schemaRefs>
    <ds:schemaRef ds:uri="http://schemas.microsoft.com/office/2006/metadata/properties"/>
    <ds:schemaRef ds:uri="http://schemas.microsoft.com/office/infopath/2007/PartnerControls"/>
    <ds:schemaRef ds:uri="37adaa97-a14e-4273-81cd-21c4683e96d4"/>
  </ds:schemaRefs>
</ds:datastoreItem>
</file>

<file path=customXml/itemProps4.xml><?xml version="1.0" encoding="utf-8"?>
<ds:datastoreItem xmlns:ds="http://schemas.openxmlformats.org/officeDocument/2006/customXml" ds:itemID="{DF177F12-56E0-4A38-84E6-9D21CEFB93F8}"/>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Farm Credit Administration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Means of Dispute Resolution</dc:title>
  <dc:creator>Karen Blue</dc:creator>
  <cp:lastModifiedBy>Brown, Antonya E.</cp:lastModifiedBy>
  <cp:revision>2</cp:revision>
  <cp:lastPrinted>2022-09-12T14:41:00Z</cp:lastPrinted>
  <dcterms:created xsi:type="dcterms:W3CDTF">2022-09-12T19:20:00Z</dcterms:created>
  <dcterms:modified xsi:type="dcterms:W3CDTF">2022-09-12T19:20:00Z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5000</vt:r8>
  </property>
</Properties>
</file>